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084B">
        <w:rPr>
          <w:rFonts w:ascii="Times New Roman" w:eastAsia="Times New Roman" w:hAnsi="Times New Roman" w:cs="Times New Roman"/>
          <w:b/>
          <w:sz w:val="24"/>
          <w:szCs w:val="24"/>
        </w:rPr>
        <w:t>129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661B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1D2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2084B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 и ад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министрации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47213E">
        <w:rPr>
          <w:rFonts w:ascii="Times New Roman" w:eastAsia="Times New Roman" w:hAnsi="Times New Roman" w:cs="Times New Roman"/>
          <w:sz w:val="24"/>
          <w:szCs w:val="24"/>
        </w:rPr>
        <w:t>Карасикова</w:t>
      </w:r>
      <w:proofErr w:type="spellEnd"/>
      <w:r w:rsidR="0047213E">
        <w:rPr>
          <w:rFonts w:ascii="Times New Roman" w:eastAsia="Times New Roman" w:hAnsi="Times New Roman" w:cs="Times New Roman"/>
          <w:sz w:val="24"/>
          <w:szCs w:val="24"/>
        </w:rPr>
        <w:t xml:space="preserve"> Владимира Ивановича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Комитетом экономического и территориального развития 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FF27EE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102,3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F27EE" w:rsidRPr="00B661EA" w:rsidRDefault="00FF27E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4819"/>
      </w:tblGrid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УАЗ 220694-04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Инв. № 000000000332, год выпуска 2007, № кузова 22060070210899, № двигателя ДВС-42130Н*61203053, № шасси 37410070415121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Глубинный насос ЭЦВ-6-10-110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инв.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110104000000107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Водокачка МТФ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площадь 30 кв. м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в эксплуатацию 1985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Накопительная емкость на 50 куб.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12325,00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Насосная станция на реке «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Аргунь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2180,00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Накопительная емкость 50 куб.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16764,00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18000,00 руб.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Автомашина УАЗ-315201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000000000006, год выпуска 1988, № двигателя 80607886, № шасси 164491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000000000304, год выпуска 1989, № двигателя 580924, № рамы 683030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инв. № 000000000019, год выпуска 1990,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двигателя 122275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МТЗ-82.1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000000000269, год выпуска 2011, № двигателя 655411, № рамы 6305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Прицеп-2 ПТС 4,5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000000000328, год выпуска 2011, № рамы 6305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Прицеп «Водолей» ПКП-4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000000000327, год выпуска 2011, № рамы 236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ЗИЛ-431412 АЦ 63Б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выпуска 1988, № двигателя ЗИЛ130Н052663, № шасси 2710975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АРС-14 на базе ЗИЛ131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000000000373, год выпуска 1972, № двигателя 979655, № шасси 765609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Погрузчик с ковшом № 2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000000000322, год выпуска 2010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Погрузчик универсальный № 1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000000000364, год выпуска 2013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Отвал Б.80.03.1.-03 (2м)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000000000359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000000000374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ЭВЦ-6-10-140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ЭВЦ-6-10-140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000000000097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Насос ЭВЦ-6-10-110 с </w:t>
            </w:r>
            <w:proofErr w:type="spell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ПЭВД5,5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000000000044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Помпа водяная бензиновая 100/10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000000000100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Помпа водяная бензиновая 100/10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000000000101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Моторизованный воздушный огнетушитель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ВА0000000459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000000000352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000000000350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Ветродуй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000000000262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Ветродуй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000000000263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С-28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000000000294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С-40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000000000325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Ранцевый огнетушитель РЛО-К (4 шт.)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000000000041, 000000000296-000000000298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Ранцевый огнетушитель РЛО-К (4 шт.)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000000000053, 000000000265-000000000267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Глубинный насос ЭЦВ-6-10-110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инв.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110104000000107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Кладбище с.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Среднеаргунск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Кладбище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. Брусиловка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Часть здания администрации (библиотека)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148,6 кв. м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Библиотечный фонд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. Брусиловка</w:t>
            </w:r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5775 экз.</w:t>
            </w:r>
          </w:p>
        </w:tc>
      </w:tr>
      <w:tr w:rsidR="00661B71" w:rsidRPr="00A4137B" w:rsidTr="00F12FF9">
        <w:tc>
          <w:tcPr>
            <w:tcW w:w="540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3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Библиотечный фонд с.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Среднеаргунск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661B71" w:rsidRPr="00A4137B" w:rsidRDefault="00661B71" w:rsidP="00F12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5555 экз.</w:t>
            </w:r>
          </w:p>
        </w:tc>
      </w:tr>
    </w:tbl>
    <w:p w:rsidR="0032084B" w:rsidRDefault="0032084B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32084B" w:rsidRDefault="0032084B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8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FF27EE" w:rsidRDefault="00FF27E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5029" w:rsidRPr="00661B71" w:rsidTr="008E5029">
        <w:tc>
          <w:tcPr>
            <w:tcW w:w="4785" w:type="dxa"/>
          </w:tcPr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8E5029" w:rsidRPr="00661B71" w:rsidRDefault="008E5029" w:rsidP="00FF27E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Среднеаргунское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06723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8E5029" w:rsidRPr="00661B71" w:rsidRDefault="008E5029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674698, Забайкальский край, 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, д. 13, помещение 1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8E5029" w:rsidRPr="00661B71" w:rsidRDefault="008E5029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7530010776; КПП 753001001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03231643766214349100,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8E5029" w:rsidRPr="00661B71" w:rsidRDefault="008E5029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Среднеаргунское</w:t>
            </w:r>
            <w:proofErr w:type="spellEnd"/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04913011070)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8E5029" w:rsidRPr="00661B71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76621434</w:t>
            </w:r>
          </w:p>
        </w:tc>
      </w:tr>
      <w:tr w:rsidR="008E5029" w:rsidRPr="00661B71" w:rsidTr="008E5029">
        <w:tc>
          <w:tcPr>
            <w:tcW w:w="4785" w:type="dxa"/>
          </w:tcPr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8E5029" w:rsidRPr="00661B71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поселения «Среднеаргунское»</w:t>
            </w:r>
          </w:p>
          <w:p w:rsidR="008E5029" w:rsidRPr="00661B71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29" w:rsidRPr="00661B71" w:rsidRDefault="008E5029" w:rsidP="0047213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Карасиков В</w:t>
            </w: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8E5029" w:rsidTr="008E5029">
        <w:tc>
          <w:tcPr>
            <w:tcW w:w="4785" w:type="dxa"/>
          </w:tcPr>
          <w:p w:rsidR="008E5029" w:rsidRPr="00D43C29" w:rsidRDefault="008E5029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8E5029" w:rsidRPr="00D43C29" w:rsidRDefault="008E50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7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67239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32084B"/>
    <w:rsid w:val="003213FD"/>
    <w:rsid w:val="00326F6E"/>
    <w:rsid w:val="00387E6B"/>
    <w:rsid w:val="003A1730"/>
    <w:rsid w:val="003D3D2A"/>
    <w:rsid w:val="004256C0"/>
    <w:rsid w:val="004358B6"/>
    <w:rsid w:val="0046391C"/>
    <w:rsid w:val="0047213E"/>
    <w:rsid w:val="00476C5F"/>
    <w:rsid w:val="004902F0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61B71"/>
    <w:rsid w:val="006A68F4"/>
    <w:rsid w:val="006D33BD"/>
    <w:rsid w:val="007742B9"/>
    <w:rsid w:val="0080420B"/>
    <w:rsid w:val="008977F1"/>
    <w:rsid w:val="008A6FB8"/>
    <w:rsid w:val="008D3831"/>
    <w:rsid w:val="008E5029"/>
    <w:rsid w:val="00916385"/>
    <w:rsid w:val="0098708A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DF6E82"/>
    <w:rsid w:val="00E77600"/>
    <w:rsid w:val="00E91D22"/>
    <w:rsid w:val="00EC593B"/>
    <w:rsid w:val="00F641C0"/>
    <w:rsid w:val="00FA70EF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18</cp:revision>
  <cp:lastPrinted>2021-01-13T00:49:00Z</cp:lastPrinted>
  <dcterms:created xsi:type="dcterms:W3CDTF">2019-12-17T01:19:00Z</dcterms:created>
  <dcterms:modified xsi:type="dcterms:W3CDTF">2021-01-13T00:49:00Z</dcterms:modified>
</cp:coreProperties>
</file>