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6F2C29" w:rsidRDefault="006F2C29" w:rsidP="006F2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sz w:val="28"/>
          <w:szCs w:val="28"/>
        </w:rPr>
      </w:pP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  » _____________2019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 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F2C29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D465C9">
        <w:rPr>
          <w:rFonts w:ascii="Times New Roman" w:hAnsi="Times New Roman" w:cs="Times New Roman"/>
          <w:sz w:val="28"/>
          <w:szCs w:val="28"/>
        </w:rPr>
        <w:t>Правил депутатской этик</w:t>
      </w:r>
      <w:r w:rsidR="00FB1CDE">
        <w:rPr>
          <w:rFonts w:ascii="Times New Roman" w:hAnsi="Times New Roman" w:cs="Times New Roman"/>
          <w:sz w:val="28"/>
          <w:szCs w:val="28"/>
        </w:rPr>
        <w:t>и</w:t>
      </w:r>
      <w:r w:rsidR="00D465C9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Pr="006F2C29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C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27 </w:t>
      </w:r>
      <w:r w:rsidRPr="006F2C29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пунктом 29 Регламента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6F2C29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от 24.12.2013 года № 190 (с изм. от 25.10.2017г. № 27), </w:t>
      </w:r>
      <w:r w:rsidRPr="006F2C2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2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6F2C29" w:rsidRPr="006F2C29" w:rsidRDefault="006F2C29" w:rsidP="00B03B7B">
      <w:pPr>
        <w:ind w:firstLine="709"/>
        <w:jc w:val="both"/>
        <w:outlineLvl w:val="0"/>
        <w:rPr>
          <w:sz w:val="28"/>
          <w:szCs w:val="28"/>
        </w:rPr>
      </w:pPr>
      <w:r w:rsidRPr="00B03B7B">
        <w:rPr>
          <w:b/>
          <w:sz w:val="28"/>
          <w:szCs w:val="28"/>
        </w:rPr>
        <w:t>1.</w:t>
      </w:r>
      <w:r w:rsidRPr="006F2C29">
        <w:rPr>
          <w:sz w:val="28"/>
          <w:szCs w:val="28"/>
        </w:rPr>
        <w:t xml:space="preserve"> Принять </w:t>
      </w:r>
      <w:hyperlink r:id="rId6" w:anchor="Par28" w:tooltip="ПОЛОЖЕНИЕ" w:history="1">
        <w:r w:rsidRPr="006F2C29">
          <w:rPr>
            <w:rStyle w:val="a3"/>
            <w:color w:val="auto"/>
            <w:sz w:val="28"/>
            <w:szCs w:val="28"/>
            <w:u w:val="none"/>
          </w:rPr>
          <w:t>П</w:t>
        </w:r>
        <w:r w:rsidR="00D465C9">
          <w:rPr>
            <w:rStyle w:val="a3"/>
            <w:color w:val="auto"/>
            <w:sz w:val="28"/>
            <w:szCs w:val="28"/>
            <w:u w:val="none"/>
          </w:rPr>
          <w:t xml:space="preserve">равила </w:t>
        </w:r>
      </w:hyperlink>
      <w:r w:rsidRPr="006F2C29">
        <w:rPr>
          <w:sz w:val="28"/>
          <w:szCs w:val="28"/>
        </w:rPr>
        <w:t>депутатской этик</w:t>
      </w:r>
      <w:r w:rsidR="00FB1CDE">
        <w:rPr>
          <w:sz w:val="28"/>
          <w:szCs w:val="28"/>
        </w:rPr>
        <w:t>и</w:t>
      </w:r>
      <w:r w:rsidRPr="006F2C29">
        <w:rPr>
          <w:sz w:val="28"/>
          <w:szCs w:val="28"/>
        </w:rPr>
        <w:t xml:space="preserve"> </w:t>
      </w:r>
      <w:r w:rsidR="00FB1CDE">
        <w:rPr>
          <w:sz w:val="28"/>
          <w:szCs w:val="28"/>
        </w:rPr>
        <w:t xml:space="preserve">в </w:t>
      </w:r>
      <w:r w:rsidRPr="006F2C29">
        <w:rPr>
          <w:sz w:val="28"/>
          <w:szCs w:val="28"/>
        </w:rPr>
        <w:t>Совет</w:t>
      </w:r>
      <w:r w:rsidR="00FB1CDE">
        <w:rPr>
          <w:sz w:val="28"/>
          <w:szCs w:val="28"/>
        </w:rPr>
        <w:t>е</w:t>
      </w:r>
      <w:r w:rsidRPr="006F2C29">
        <w:rPr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sz w:val="28"/>
          <w:szCs w:val="28"/>
        </w:rPr>
        <w:t>Краснокаменск</w:t>
      </w:r>
      <w:proofErr w:type="spellEnd"/>
      <w:r w:rsidRPr="006F2C29">
        <w:rPr>
          <w:sz w:val="28"/>
          <w:szCs w:val="28"/>
        </w:rPr>
        <w:t xml:space="preserve"> и </w:t>
      </w:r>
      <w:proofErr w:type="spellStart"/>
      <w:r w:rsidRPr="006F2C29">
        <w:rPr>
          <w:sz w:val="28"/>
          <w:szCs w:val="28"/>
        </w:rPr>
        <w:t>Краснокаменский</w:t>
      </w:r>
      <w:proofErr w:type="spellEnd"/>
      <w:r w:rsidRPr="006F2C29">
        <w:rPr>
          <w:sz w:val="28"/>
          <w:szCs w:val="28"/>
        </w:rPr>
        <w:t xml:space="preserve"> район» Забайкальского края согласно приложению.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2.</w:t>
      </w:r>
      <w:r w:rsidRPr="006F2C29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AD771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6F2C2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D7715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F2C29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6F2C29" w:rsidRPr="006F2C29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Default="006F2C29" w:rsidP="006F2C29">
      <w:pPr>
        <w:pStyle w:val="ConsPlusNormal"/>
        <w:jc w:val="both"/>
      </w:pPr>
    </w:p>
    <w:p w:rsidR="00D97AA2" w:rsidRDefault="00D97AA2" w:rsidP="006F2C29">
      <w:pPr>
        <w:pStyle w:val="ConsPlusNormal"/>
        <w:jc w:val="both"/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6F2C29" w:rsidRPr="00B03B7B" w:rsidRDefault="006F2C29" w:rsidP="006F2C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3B7B" w:rsidRPr="00B03B7B" w:rsidRDefault="006F2C29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к решению</w:t>
      </w:r>
    </w:p>
    <w:p w:rsidR="00B03B7B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</w:t>
      </w:r>
    </w:p>
    <w:p w:rsid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97AA2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F2C29" w:rsidRPr="00B03B7B" w:rsidRDefault="00D97AA2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6F2C29" w:rsidRPr="00B0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6F2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от </w:t>
      </w:r>
      <w:r w:rsidR="00B03B7B" w:rsidRPr="00B03B7B">
        <w:rPr>
          <w:rFonts w:ascii="Times New Roman" w:hAnsi="Times New Roman" w:cs="Times New Roman"/>
          <w:sz w:val="24"/>
          <w:szCs w:val="24"/>
        </w:rPr>
        <w:t>«   »</w:t>
      </w:r>
      <w:r w:rsidRPr="00B03B7B">
        <w:rPr>
          <w:rFonts w:ascii="Times New Roman" w:hAnsi="Times New Roman" w:cs="Times New Roman"/>
          <w:sz w:val="24"/>
          <w:szCs w:val="24"/>
        </w:rPr>
        <w:t xml:space="preserve"> </w:t>
      </w:r>
      <w:r w:rsidR="00B03B7B" w:rsidRPr="00B03B7B">
        <w:rPr>
          <w:rFonts w:ascii="Times New Roman" w:hAnsi="Times New Roman" w:cs="Times New Roman"/>
          <w:sz w:val="24"/>
          <w:szCs w:val="24"/>
        </w:rPr>
        <w:t>______</w:t>
      </w:r>
      <w:r w:rsidRPr="00B03B7B">
        <w:rPr>
          <w:rFonts w:ascii="Times New Roman" w:hAnsi="Times New Roman" w:cs="Times New Roman"/>
          <w:sz w:val="24"/>
          <w:szCs w:val="24"/>
        </w:rPr>
        <w:t>201</w:t>
      </w:r>
      <w:r w:rsidR="00B03B7B" w:rsidRPr="00B03B7B">
        <w:rPr>
          <w:rFonts w:ascii="Times New Roman" w:hAnsi="Times New Roman" w:cs="Times New Roman"/>
          <w:sz w:val="24"/>
          <w:szCs w:val="24"/>
        </w:rPr>
        <w:t>9</w:t>
      </w:r>
      <w:r w:rsidRPr="00B03B7B">
        <w:rPr>
          <w:rFonts w:ascii="Times New Roman" w:hAnsi="Times New Roman" w:cs="Times New Roman"/>
          <w:sz w:val="24"/>
          <w:szCs w:val="24"/>
        </w:rPr>
        <w:t xml:space="preserve"> г. </w:t>
      </w:r>
      <w:r w:rsidR="00B03B7B" w:rsidRPr="00B03B7B">
        <w:rPr>
          <w:rFonts w:ascii="Times New Roman" w:hAnsi="Times New Roman" w:cs="Times New Roman"/>
          <w:sz w:val="24"/>
          <w:szCs w:val="24"/>
        </w:rPr>
        <w:t>№___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5C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03B7B">
        <w:rPr>
          <w:rFonts w:ascii="Times New Roman" w:hAnsi="Times New Roman" w:cs="Times New Roman"/>
          <w:sz w:val="28"/>
          <w:szCs w:val="28"/>
        </w:rPr>
        <w:t>П</w:t>
      </w:r>
      <w:r w:rsidR="00D465C9">
        <w:rPr>
          <w:rFonts w:ascii="Times New Roman" w:hAnsi="Times New Roman" w:cs="Times New Roman"/>
          <w:sz w:val="28"/>
          <w:szCs w:val="28"/>
        </w:rPr>
        <w:t>РАВИЛА</w:t>
      </w:r>
    </w:p>
    <w:p w:rsidR="006F2C2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ДЕПУТАТСКОЙ ЭТИК</w:t>
      </w:r>
      <w:r w:rsidR="005D65C3">
        <w:rPr>
          <w:rFonts w:ascii="Times New Roman" w:hAnsi="Times New Roman" w:cs="Times New Roman"/>
          <w:sz w:val="28"/>
          <w:szCs w:val="28"/>
        </w:rPr>
        <w:t>И</w:t>
      </w:r>
      <w:r w:rsidRP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="00B03B7B" w:rsidRPr="00B03B7B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="00B03B7B" w:rsidRPr="00B03B7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</w:t>
      </w:r>
      <w:r w:rsid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B03B7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1499A" w:rsidRDefault="0011499A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DE">
        <w:rPr>
          <w:rFonts w:ascii="Times New Roman" w:hAnsi="Times New Roman" w:cs="Times New Roman"/>
          <w:sz w:val="28"/>
          <w:szCs w:val="28"/>
        </w:rPr>
        <w:t xml:space="preserve">Правила депутатской этики депутатов </w:t>
      </w:r>
      <w:r w:rsidR="00442A54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442A54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42A54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2A54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42A54" w:rsidRPr="00FB1CD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B1CDE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) определяют основные правила поведения депутатов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при осуществлении ими своих полномочий, в том числе непосредственно на заседаниях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коми</w:t>
      </w:r>
      <w:r w:rsidR="005D65C3" w:rsidRPr="00FB1CDE">
        <w:rPr>
          <w:rFonts w:ascii="Times New Roman" w:hAnsi="Times New Roman" w:cs="Times New Roman"/>
          <w:sz w:val="28"/>
          <w:szCs w:val="28"/>
        </w:rPr>
        <w:t>с</w:t>
      </w:r>
      <w:r w:rsidR="00FB1CDE">
        <w:rPr>
          <w:rFonts w:ascii="Times New Roman" w:hAnsi="Times New Roman" w:cs="Times New Roman"/>
          <w:sz w:val="28"/>
          <w:szCs w:val="28"/>
        </w:rPr>
        <w:t>с</w:t>
      </w:r>
      <w:r w:rsidR="005D65C3" w:rsidRPr="00FB1CDE">
        <w:rPr>
          <w:rFonts w:ascii="Times New Roman" w:hAnsi="Times New Roman" w:cs="Times New Roman"/>
          <w:sz w:val="28"/>
          <w:szCs w:val="28"/>
        </w:rPr>
        <w:t>ий</w:t>
      </w:r>
      <w:r w:rsidRPr="00FB1CDE">
        <w:rPr>
          <w:rFonts w:ascii="Times New Roman" w:hAnsi="Times New Roman" w:cs="Times New Roman"/>
          <w:sz w:val="28"/>
          <w:szCs w:val="28"/>
        </w:rPr>
        <w:t>, депутатских объединений, рабочих групп, определяют порядок разрешения возможных этических конфликтов, а также меры воздействия за нарушение требований, установленных настоящими Правилами</w:t>
      </w:r>
      <w:proofErr w:type="gramEnd"/>
      <w:r w:rsidRPr="00FB1CDE">
        <w:rPr>
          <w:rFonts w:ascii="Times New Roman" w:hAnsi="Times New Roman" w:cs="Times New Roman"/>
          <w:sz w:val="28"/>
          <w:szCs w:val="28"/>
        </w:rPr>
        <w:t>, и призваны содействовать повышению авторитета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укреплению доверия граждан к представительному органу местного самоуправления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1CDE">
        <w:rPr>
          <w:rFonts w:ascii="Times New Roman" w:hAnsi="Times New Roman" w:cs="Times New Roman"/>
          <w:sz w:val="28"/>
          <w:szCs w:val="28"/>
        </w:rPr>
        <w:t>»</w:t>
      </w:r>
      <w:r w:rsidR="006A684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7AA2">
        <w:rPr>
          <w:rFonts w:ascii="Times New Roman" w:hAnsi="Times New Roman" w:cs="Times New Roman"/>
          <w:sz w:val="28"/>
          <w:szCs w:val="28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</w:rPr>
        <w:t>- муниципальный район)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11499A" w:rsidRPr="00FB1CDE" w:rsidRDefault="005D65C3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Депутатская этика - совокупность обязательных для каждого депутата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правил при осуществлении депутатской деятельности, основанных на общепризнанных нормах морали и нравственности.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(далее - депутат) осуществляет свои полномочия с обязательным соблюдением Правил депутатской этики.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Моральными критериями поведения депутата должны служить идеалы добра, справедливости, гуманизма и милосердия.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Деятельность депутата должна быть направлена на развитие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B1C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65C3" w:rsidRPr="00FB1CDE">
        <w:rPr>
          <w:rFonts w:ascii="Times New Roman" w:hAnsi="Times New Roman" w:cs="Times New Roman"/>
          <w:sz w:val="28"/>
          <w:szCs w:val="28"/>
        </w:rPr>
        <w:t>– муниципальный район</w:t>
      </w:r>
      <w:r w:rsidRPr="00FB1CDE">
        <w:rPr>
          <w:rFonts w:ascii="Times New Roman" w:hAnsi="Times New Roman" w:cs="Times New Roman"/>
          <w:sz w:val="28"/>
          <w:szCs w:val="28"/>
        </w:rPr>
        <w:t xml:space="preserve">), учитывая интересы жителей </w:t>
      </w:r>
      <w:r w:rsidR="005D65C3" w:rsidRPr="00FB1C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. В своей деятельности депутат должен соблюдать безусловный приоритет общенародных интересов и прав человека.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Депутат должен воздерживаться от деятельности и поступков, которые могут нанести ущерб его авторитету, а также авторитету других депутатов и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целом.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Депутат ответственен перед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и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избирателями за свою деятельность.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Статья 2. Правила депутатской этики, относящиеся к деятельности депутата в </w:t>
      </w:r>
      <w:r w:rsidR="005D65C3" w:rsidRPr="00FB1CDE">
        <w:rPr>
          <w:rFonts w:ascii="Times New Roman" w:hAnsi="Times New Roman" w:cs="Times New Roman"/>
          <w:sz w:val="28"/>
          <w:szCs w:val="28"/>
        </w:rPr>
        <w:t>Совете муниципального района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 должен содействовать созданию 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Совете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атмосферы доброжелательности, взаимной поддержки и конструктивного сотрудничества, уважения и терпимости к многообразию мнений.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Правовой статус и депутатская этика депутата обязывают его: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проявлять высокие нравственные качества и строить свою деятельность в соответствии с общепризнанными нормами морали и нравственности, в том числе соблюдать и защищать права человека, нести ответственность за свою деятельность, проявлять уважение, принципиальность, бескорыстие, доброжелательность и компетентность;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2) соблюдать федеральное законодательство, законодательство Забайкальского края, </w:t>
      </w:r>
      <w:hyperlink r:id="rId7" w:tooltip="&quot;Устав городского округа &quot;Город Чита&quot; (принят решением Думы городского округа &quot;Город Чита&quot; от 08.12.2011 N 243) (ред. от 19.05.2016) (Зарегистрировано в Управлении Минюста России по Забайкальскому краю 12.12.2011 N RU923030002011001)------------ Утратил " w:history="1">
        <w:r w:rsidRPr="00FB1CDE">
          <w:rPr>
            <w:rStyle w:val="a3"/>
            <w:rFonts w:ascii="Times New Roman" w:hAnsi="Times New Roman" w:cs="Times New Roman"/>
            <w:sz w:val="28"/>
            <w:szCs w:val="28"/>
          </w:rPr>
          <w:t>Устав</w:t>
        </w:r>
      </w:hyperlink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B1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FB1CDE">
          <w:rPr>
            <w:rStyle w:val="a3"/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B1CDE">
        <w:rPr>
          <w:rFonts w:ascii="Times New Roman" w:hAnsi="Times New Roman" w:cs="Times New Roman"/>
          <w:sz w:val="28"/>
          <w:szCs w:val="28"/>
        </w:rPr>
        <w:t>и иные муниципальные правовые акты;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выполнять свои полномочия добросовестно и эффективно, укреплять авторитет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участвовать в работе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других мероприятиях, организуемых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Советом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постоянных и временных комиссий, депутатских объединений, рабочих групп, членом которых он является. В случае невозможности присутствовать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на заседании постоянной или временной комиссии, ином мероприятии по уважительной причине депутат обязан заблаговременно проинформировать об этом лиц, организующих проведение соответствующего мероприятия;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5) не использовать в своих выступлениях на заседаниях некорректные высказывания, проявлять вежливость, тактичность и уважение ко всем присутствующим лицам, не допускать оскорблений, не прерывать выступающих, а также не допускать других действий, выражающих неуважение к общепринятым нормам поведения;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6) соблюдать дисциплину во время проведения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заседаний постоянных или временных комиссий и других мероприятий, следовать утвержденному порядку работы, воздерживаться от действий, заявлений и поступков, способных скомпрометировать присутствующих на заседании лиц, оскорбить их,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опорочить их честь, достоинство или деловую репутацию;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DE">
        <w:rPr>
          <w:rFonts w:ascii="Times New Roman" w:hAnsi="Times New Roman" w:cs="Times New Roman"/>
          <w:sz w:val="28"/>
          <w:szCs w:val="28"/>
        </w:rPr>
        <w:t>7) уважать председательствующего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рабочей группы, подчиняться его указаниям, данным в пределах его полномочий в соответствии с </w:t>
      </w:r>
      <w:r w:rsidR="006A684D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 «Город </w:t>
      </w:r>
      <w:proofErr w:type="spellStart"/>
      <w:r w:rsidR="006A684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68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684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684D">
        <w:rPr>
          <w:rFonts w:ascii="Times New Roman" w:hAnsi="Times New Roman" w:cs="Times New Roman"/>
          <w:sz w:val="28"/>
          <w:szCs w:val="28"/>
        </w:rPr>
        <w:t xml:space="preserve"> район», </w:t>
      </w:r>
      <w:hyperlink r:id="rId9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FB1CDE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="006A684D">
        <w:rPr>
          <w:rFonts w:ascii="Times New Roman" w:hAnsi="Times New Roman" w:cs="Times New Roman"/>
          <w:sz w:val="28"/>
          <w:szCs w:val="28"/>
        </w:rPr>
        <w:t xml:space="preserve"> </w:t>
      </w:r>
      <w:r w:rsidR="006A684D" w:rsidRPr="006A684D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6A684D" w:rsidRPr="006A684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684D" w:rsidRPr="006A68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684D" w:rsidRPr="006A684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684D" w:rsidRPr="006A68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, Положением о постоянных комиссиях Совета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8) депутат может покинуть заседание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рабочей группы, иное мероприятие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только после уведомления председательствующего на мероприятии (председательствующего на заседании, председателя комиссии, председательствующего на ином мероприятии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) о причинах отсутствия;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9) обращаться к другим депутатам и лицам, присутствующим на заседании, используя уважитель</w:t>
      </w:r>
      <w:r w:rsidR="00FD147B">
        <w:rPr>
          <w:rFonts w:ascii="Times New Roman" w:hAnsi="Times New Roman" w:cs="Times New Roman"/>
          <w:sz w:val="28"/>
          <w:szCs w:val="28"/>
        </w:rPr>
        <w:t>ные формы обращения, например: «</w:t>
      </w:r>
      <w:r w:rsidRPr="00FB1CDE">
        <w:rPr>
          <w:rFonts w:ascii="Times New Roman" w:hAnsi="Times New Roman" w:cs="Times New Roman"/>
          <w:sz w:val="28"/>
          <w:szCs w:val="28"/>
        </w:rPr>
        <w:t>уважаемый коллега</w:t>
      </w:r>
      <w:r w:rsidR="00FD147B">
        <w:rPr>
          <w:rFonts w:ascii="Times New Roman" w:hAnsi="Times New Roman" w:cs="Times New Roman"/>
          <w:sz w:val="28"/>
          <w:szCs w:val="28"/>
        </w:rPr>
        <w:t>», «</w:t>
      </w:r>
      <w:r w:rsidRPr="00FB1CDE">
        <w:rPr>
          <w:rFonts w:ascii="Times New Roman" w:hAnsi="Times New Roman" w:cs="Times New Roman"/>
          <w:sz w:val="28"/>
          <w:szCs w:val="28"/>
        </w:rPr>
        <w:t>уважаемый председатель</w:t>
      </w:r>
      <w:r w:rsidR="00FD147B">
        <w:rPr>
          <w:rFonts w:ascii="Times New Roman" w:hAnsi="Times New Roman" w:cs="Times New Roman"/>
          <w:sz w:val="28"/>
          <w:szCs w:val="28"/>
        </w:rPr>
        <w:t>»</w:t>
      </w:r>
      <w:r w:rsidRPr="00FB1CDE">
        <w:rPr>
          <w:rFonts w:ascii="Times New Roman" w:hAnsi="Times New Roman" w:cs="Times New Roman"/>
          <w:sz w:val="28"/>
          <w:szCs w:val="28"/>
        </w:rPr>
        <w:t xml:space="preserve"> и тому подобное с добавлением фамилии, имени и отчества или без них;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10) добросовестно выполнять поручения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</w:t>
      </w:r>
      <w:r w:rsidR="005D65C3" w:rsidRPr="006A684D">
        <w:rPr>
          <w:rFonts w:ascii="Times New Roman" w:hAnsi="Times New Roman" w:cs="Times New Roman"/>
          <w:sz w:val="28"/>
          <w:szCs w:val="28"/>
        </w:rPr>
        <w:t>председателя Совета муниципального района,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председателя постоянной или временной комиссии, депутатского объединения, данные в пределах их компетенции.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Не допускаются индивидуальные и коллективные действия, ведущие к произвольному прекращению заседания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а также заседаний ее органов, фракций, рабочих групп.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5. Депутат должен придерживаться делового стиля одежды, соответствующего официальному характеру деятельности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Работники аппарата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пределах своих должностных инструкций оказывают содействие депутатам в связи с осуществлением ими депутатских полномочий в соответствии с законодательством Российской Федерации, Забайкальского края и муниципальными правовыми актами.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3. Правила депутатской этики во взаимоотношениях депутата с избирателями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Взаимоотношения депутата с избирателями строятся на основе взаимного уважения и вежливости, внимательного отношения депутата к обращениям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принимает меры по обеспечению прав, свобод и законных интересов избирателей: отвечает на письма избирателей, изучает поступившие от них обращения, осуществляет прием граждан </w:t>
      </w:r>
      <w:r w:rsidRPr="006A684D">
        <w:rPr>
          <w:rFonts w:ascii="Times New Roman" w:hAnsi="Times New Roman" w:cs="Times New Roman"/>
          <w:sz w:val="28"/>
          <w:szCs w:val="28"/>
        </w:rPr>
        <w:t xml:space="preserve">в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FB1CDE" w:rsidRPr="006A68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6A684D">
        <w:rPr>
          <w:rFonts w:ascii="Times New Roman" w:hAnsi="Times New Roman" w:cs="Times New Roman"/>
          <w:sz w:val="28"/>
          <w:szCs w:val="28"/>
        </w:rPr>
        <w:t>не реже одного раза в месяц.</w:t>
      </w:r>
      <w:r w:rsidRPr="00FB1C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поступивших обращений избирателей депутат обязан дать письменный ответ в порядке и в срок, установленные действующим законодательством.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При проведении приема граждан следует проявлять терпимость и тактичность. При организации приема необходимо учитывать, чтобы дата, место и время проведения приема были удобны для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Депутат должен проявлять выдержку и корректность, особенно в тех ситуациях, когда собственная позиция депутата расходится с мнением избирателей. Представляя интересы своих избирателей, депутат должен проявлять терпимость к убеждениям граждан, традициям, культурным особенностям этнических и социальных групп, религиозных конфессий.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Депутат обязан отчитываться перед избирателями о своей работе в соответствии </w:t>
      </w:r>
      <w:r w:rsidRPr="006A684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6A684D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FB1CDE" w:rsidRPr="006A684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а также информирует избирателей о своей деятельности во время встреч с ними и через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Информация, предоставленная депутатом избирателям, должна быть полной, достоверной и объективной.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4. Правила депутатской этики во взаимоотношениях депутата с государственными органами, органами местного самоуправления, юридическими и физическими лицами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При взаимодействиях с государственными органами, органами местного самоуправления, иными юридическими лицами, а также физическими лицами депутат не вправе использовать свой статус депутата в личных целях, а также для деятельности, не связанной с исполнением депутатских полномочий.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использовать информацию, ставшую ему известной благодаря статусу депутата, в целях получения материальной и иной выгоды для себя, членов своей семьи и других лиц.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Депутат не вправе разглашать сведения, которые стали ему известны в силу осуществления им депутатской деятельности, если эти сведения: составляют государственную, служебную или иную охраняемую законом тайну; 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</w:t>
      </w:r>
      <w:r w:rsidRPr="006A684D">
        <w:rPr>
          <w:rFonts w:ascii="Times New Roman" w:hAnsi="Times New Roman" w:cs="Times New Roman"/>
          <w:sz w:val="28"/>
          <w:szCs w:val="28"/>
        </w:rPr>
        <w:t xml:space="preserve">Депутат использует для официальных обращений и писем бланк письма </w:t>
      </w:r>
      <w:r w:rsidR="006A684D" w:rsidRPr="00D97AA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6A684D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делопроизводству, действующей в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 Совете муниципального района</w:t>
      </w:r>
      <w:r w:rsidRPr="006A684D">
        <w:rPr>
          <w:rFonts w:ascii="Times New Roman" w:hAnsi="Times New Roman" w:cs="Times New Roman"/>
          <w:sz w:val="28"/>
          <w:szCs w:val="28"/>
        </w:rPr>
        <w:t>.</w:t>
      </w:r>
      <w:r w:rsidR="006A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Воздействие на депутата, членов его семьи с целью воспрепятствования исполнению депутатских полномочий, публичное оскорбление депутата, а также его личное оскорбление при исполнении им депутатских обязанностей, а равно клевета в отношении депутата либо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распространение информац</w:t>
      </w:r>
      <w:proofErr w:type="gramStart"/>
      <w:r w:rsidRPr="00FB1C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FB1CDE">
        <w:rPr>
          <w:rFonts w:ascii="Times New Roman" w:hAnsi="Times New Roman" w:cs="Times New Roman"/>
          <w:sz w:val="28"/>
          <w:szCs w:val="28"/>
        </w:rPr>
        <w:t>го депутатской деятельности в искаженном виде влекут ответственность в соответствии с действующим законодательством.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5. Этика публичных выступлений депутата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Депутат, выступая на заседаниях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иных мероприятиях и в средствах массовой информации с различного рода публичными заявлениями, комментируя деятельность органов государственной власти, органов местного самоуправления, общественных и иных организаций, </w:t>
      </w:r>
      <w:r w:rsidR="006A684D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FB1CDE">
        <w:rPr>
          <w:rFonts w:ascii="Times New Roman" w:hAnsi="Times New Roman" w:cs="Times New Roman"/>
          <w:sz w:val="28"/>
          <w:szCs w:val="28"/>
        </w:rPr>
        <w:t>граждан должен использовать только достоверную информацию. Депутат не должен допускать грубых и некорректных высказываний, использования ненормативной лексики, оскорбительных выражений и жестов, призывать к незаконным действиям (бездействию), использовать при осуществлении депутатской деятельности заведомо ложную информацию.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представлять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не имея на то специальных полномочий, делать от ее имени официальных заявлений в органы государственной власти Забайкальского края, органы местного самоуправления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FB1CDE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B1CDE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1CDE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B1CDE">
        <w:rPr>
          <w:rFonts w:ascii="Times New Roman" w:hAnsi="Times New Roman" w:cs="Times New Roman"/>
          <w:sz w:val="28"/>
          <w:szCs w:val="28"/>
        </w:rPr>
        <w:t>и иные организации, в том числе в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FB1CDE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Статья 6. Рассмотрение вопросов, связанных с нарушением Правил депутатской этики, Регламента </w:t>
      </w:r>
      <w:r w:rsidR="00FB1CDE" w:rsidRPr="00FB1CD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Предварительное рассмотрение вопросов, связанных с нарушением настоящих Правил, включая вопросы о совершении депутатами действий, порочащих честь, достоинство и (или) деловую репутацию других лиц, влекущих нанесение урона авторитету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в целом, осуществляет комиссия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D97AA2">
        <w:rPr>
          <w:rFonts w:ascii="Times New Roman" w:hAnsi="Times New Roman" w:cs="Times New Roman"/>
          <w:sz w:val="28"/>
          <w:szCs w:val="28"/>
        </w:rPr>
        <w:t>по депутатской этике и урегулированию конфликта интересов (</w:t>
      </w:r>
      <w:r w:rsidRPr="00FB1CDE">
        <w:rPr>
          <w:rFonts w:ascii="Times New Roman" w:hAnsi="Times New Roman" w:cs="Times New Roman"/>
          <w:sz w:val="28"/>
          <w:szCs w:val="28"/>
        </w:rPr>
        <w:t>далее - Комиссия).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Комиссия рассматривает вопросы, связанные с нарушением депутатом Правил депутатской этики: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по письменному представлению </w:t>
      </w:r>
      <w:r w:rsidR="006A684D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Pr="00FB1CDE">
        <w:rPr>
          <w:rFonts w:ascii="Times New Roman" w:hAnsi="Times New Roman" w:cs="Times New Roman"/>
          <w:sz w:val="28"/>
          <w:szCs w:val="28"/>
        </w:rPr>
        <w:t>депутата или группы депутатов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по письменному представлению Главы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председателя постоянной или временной комиссии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по письменному обращению должностных лиц органов государственной власти, органов местного самоуправления, организаций и граждан;</w:t>
      </w:r>
      <w:bookmarkStart w:id="1" w:name="_GoBack"/>
      <w:bookmarkEnd w:id="1"/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по собственной инициативе Комиссии, если решение о рассмотрении вопроса принято большинством ее членов, присутствующих на заседании.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lastRenderedPageBreak/>
        <w:t>Анонимные обращения не рассматриваются.</w:t>
      </w:r>
    </w:p>
    <w:p w:rsidR="0011499A" w:rsidRPr="00FB1CDE" w:rsidRDefault="00FB1CDE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</w:t>
      </w:r>
      <w:r w:rsidR="0011499A" w:rsidRPr="00FB1C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 о нарушении депутатом настоящих </w:t>
      </w:r>
      <w:proofErr w:type="gramStart"/>
      <w:r w:rsidR="0011499A" w:rsidRPr="00FB1CDE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11499A" w:rsidRPr="00FB1CDE">
        <w:rPr>
          <w:rFonts w:ascii="Times New Roman" w:hAnsi="Times New Roman" w:cs="Times New Roman"/>
          <w:sz w:val="28"/>
          <w:szCs w:val="28"/>
        </w:rPr>
        <w:t xml:space="preserve"> Комиссия может вынести одно из следующих решений: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о нарушении депутатом настоящих Правил с рекомендацией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к депутату одну из мер воздействия, </w:t>
      </w:r>
      <w:r w:rsidRPr="00D97AA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D97AA2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частью 1 статьи </w:t>
        </w:r>
      </w:hyperlink>
      <w:r w:rsidR="00D97AA2" w:rsidRPr="00D97AA2">
        <w:rPr>
          <w:rStyle w:val="a3"/>
          <w:rFonts w:ascii="Times New Roman" w:hAnsi="Times New Roman" w:cs="Times New Roman"/>
          <w:sz w:val="28"/>
          <w:szCs w:val="28"/>
        </w:rPr>
        <w:t>7</w:t>
      </w:r>
      <w:r w:rsidRPr="00D97AA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об отсутствии нарушения депутатом настоящих 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ограничиться обсуждением вопросов, связанных с нарушением Правил депутатской этики, на своем заседании.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7.  Меры воздействия за нарушение настоящих Правил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FB1CDE">
        <w:rPr>
          <w:rFonts w:ascii="Times New Roman" w:hAnsi="Times New Roman" w:cs="Times New Roman"/>
          <w:sz w:val="28"/>
          <w:szCs w:val="28"/>
        </w:rPr>
        <w:t xml:space="preserve">1. За нарушение настоящих Правил по результатам рассмотрения письменных обращений или собственной инициативы Комиссия может рекомендовать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в отношении депутата </w:t>
      </w:r>
      <w:r w:rsidR="006A684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 следующие меры воздействия: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сделать замечание на заседании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предложить депутату принести публичные извинения;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3) огласить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и (или) распространить в печатных средствах массовой информации, разместить на официальном сайте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информаци</w:t>
      </w:r>
      <w:r w:rsidR="00FB1CDE" w:rsidRPr="00FB1CD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B1CDE">
        <w:rPr>
          <w:rFonts w:ascii="Times New Roman" w:hAnsi="Times New Roman" w:cs="Times New Roman"/>
          <w:sz w:val="28"/>
          <w:szCs w:val="28"/>
        </w:rPr>
        <w:t>Интернет</w:t>
      </w:r>
      <w:r w:rsidR="00FB1CDE" w:rsidRPr="00FB1CDE">
        <w:rPr>
          <w:rFonts w:ascii="Times New Roman" w:hAnsi="Times New Roman" w:cs="Times New Roman"/>
          <w:sz w:val="28"/>
          <w:szCs w:val="28"/>
        </w:rPr>
        <w:t>»</w:t>
      </w:r>
      <w:r w:rsidRPr="00FB1CDE">
        <w:rPr>
          <w:rFonts w:ascii="Times New Roman" w:hAnsi="Times New Roman" w:cs="Times New Roman"/>
          <w:sz w:val="28"/>
          <w:szCs w:val="28"/>
        </w:rPr>
        <w:t xml:space="preserve"> факты нарушения депутатом Правил депутатской этики.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о применении меры воздействия к депутату, предусмотренной </w:t>
      </w:r>
      <w:hyperlink r:id="rId12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FB1CDE">
          <w:rPr>
            <w:rStyle w:val="a3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FB1CDE">
        <w:rPr>
          <w:rFonts w:ascii="Times New Roman" w:hAnsi="Times New Roman" w:cs="Times New Roman"/>
          <w:sz w:val="28"/>
          <w:szCs w:val="28"/>
        </w:rPr>
        <w:t xml:space="preserve"> настоящей статьи, оформляется решением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депутатов. При этом депутат, допустивший нарушение Правил депутатской этики, при рассмотрении соответствующего вопроса в голосовании не участвует.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3. Рассмотрение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вопросов, связанных с нарушением Правил депутатской этики, может происходить в закрытом режиме. Соответствующее решение принимается большинством голосов от числа депутатов, присутствующих на заседании.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8D" w:rsidRPr="00B03B7B" w:rsidRDefault="0011499A" w:rsidP="00FB1CDE">
      <w:pPr>
        <w:jc w:val="center"/>
        <w:rPr>
          <w:sz w:val="28"/>
          <w:szCs w:val="28"/>
        </w:rPr>
      </w:pPr>
      <w:r w:rsidRPr="00FB1CDE">
        <w:rPr>
          <w:sz w:val="28"/>
          <w:szCs w:val="28"/>
        </w:rPr>
        <w:t>__________</w:t>
      </w:r>
      <w:r w:rsidRPr="00442A54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sectPr w:rsidR="00945A8D" w:rsidRPr="00B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11499A"/>
    <w:rsid w:val="0016717D"/>
    <w:rsid w:val="00384D64"/>
    <w:rsid w:val="00442A54"/>
    <w:rsid w:val="004D76DD"/>
    <w:rsid w:val="005D65C3"/>
    <w:rsid w:val="006A684D"/>
    <w:rsid w:val="006F2C29"/>
    <w:rsid w:val="007B0CCC"/>
    <w:rsid w:val="008277FD"/>
    <w:rsid w:val="00945A8D"/>
    <w:rsid w:val="00A36015"/>
    <w:rsid w:val="00AD7715"/>
    <w:rsid w:val="00B03B7B"/>
    <w:rsid w:val="00B04D69"/>
    <w:rsid w:val="00C91D7C"/>
    <w:rsid w:val="00CE596A"/>
    <w:rsid w:val="00D465C9"/>
    <w:rsid w:val="00D97AA2"/>
    <w:rsid w:val="00FB1CDE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688912AAE7E77F2A60ECD65DB31DD16E2C377A84827E8525E78106DE622AF1DA3180E31B6D39ECB716D79DC7018B03F102u8CCG" TargetMode="External"/><Relationship Id="rId12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11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BF73-AD10-4665-89BF-F8CBA18A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2019-05-07T02:08:00Z</cp:lastPrinted>
  <dcterms:created xsi:type="dcterms:W3CDTF">2019-04-09T05:57:00Z</dcterms:created>
  <dcterms:modified xsi:type="dcterms:W3CDTF">2019-05-07T02:08:00Z</dcterms:modified>
</cp:coreProperties>
</file>